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/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931975" cy="1300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1975" cy="1300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DE SOLICITUD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 ACCESO A DOCUMENTOS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de solicitud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del Solicitante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Apellido: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Cedula o pasaporte: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Posición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Estudiante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Investigador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Otros: especificar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Razones de uso: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Tema de interés que desea investigar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</w:t>
      </w:r>
    </w:p>
    <w:p w:rsidR="00000000" w:rsidDel="00000000" w:rsidP="00000000" w:rsidRDefault="00000000" w:rsidRPr="00000000" w14:paraId="0000002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Solicitante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FAVOR LLENAR  ESTE FORMULARIO Y ENVIARLO VÍA EMAIL </w:t>
      </w:r>
      <w:r w:rsidDel="00000000" w:rsidR="00000000" w:rsidRPr="00000000">
        <w:rPr>
          <w:rFonts w:ascii="Roboto" w:cs="Roboto" w:eastAsia="Roboto" w:hAnsi="Roboto"/>
          <w:b w:val="1"/>
          <w:color w:val="0000ff"/>
          <w:sz w:val="21"/>
          <w:szCs w:val="21"/>
          <w:highlight w:val="white"/>
          <w:rtl w:val="0"/>
        </w:rPr>
        <w:t xml:space="preserve">sosuajewishmuseum@gmail.com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NOTA: APROBADO O RECHAZADO 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SE PUEDE RECHAZAR POR LAS SIGUIENTE RAZONES: SI LA DOCUMENTACIÓN QUE SOLICITA ES CONSIDERADA SENSIBLE, SI ESTÁ EN PROCESO DE TRABAJO O SU CONDICIÓN FÍSICA NO ES BUENA.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